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424DDF01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>О внесений изменений в часть первую и статью 846 части второй Гражданского кодекса Российской Федерации</w:t>
      </w:r>
    </w:p>
    <w:bookmarkEnd w:id="0"/>
    <w:p w14:paraId="1891E717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Для открытия банковского счёта несовершеннолетнему в возрасте от 14 до 18 лет потребуется согласие родителей (усыновителей или попечителя). Исключение — случаи, когда несовершеннолетние лица приобрели дееспособность в полном объёме в соответствии с пунктом 2 статьи 21 (вступление в брак) или со статьёй 27 ГК РФ (эмансипация в связи с трудоустройством).</w:t>
      </w:r>
    </w:p>
    <w:p w14:paraId="7E0D4D0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Кроме того, принятым законом снят запрет, в соответствии с которым хозяйственное общество не могло иметь в качестве единственного участника другое хозяйственное общество, состоящее из одного лица.</w:t>
      </w:r>
    </w:p>
    <w:p w14:paraId="24D33FC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Федеральный закон вступает в силу с 1 августа 2025 года.</w:t>
      </w:r>
      <w:r>
        <w:rPr>
          <w:rFonts w:hint="default" w:ascii="Times New Roman" w:hAnsi="Times New Roman"/>
          <w:b w:val="0"/>
          <w:bCs w:val="0"/>
          <w:lang w:val="ru-RU"/>
        </w:rPr>
        <w:tab/>
        <w:t/>
      </w:r>
      <w:r>
        <w:rPr>
          <w:rFonts w:hint="default" w:ascii="Times New Roman" w:hAnsi="Times New Roman"/>
          <w:b w:val="0"/>
          <w:bCs w:val="0"/>
          <w:lang w:val="ru-RU"/>
        </w:rPr>
        <w:tab/>
        <w:t/>
      </w:r>
      <w:r>
        <w:rPr>
          <w:rFonts w:hint="default" w:ascii="Times New Roman" w:hAnsi="Times New Roman"/>
          <w:b w:val="0"/>
          <w:bCs w:val="0"/>
          <w:lang w:val="ru-RU"/>
        </w:rPr>
        <w:tab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2064"/>
    <w:rsid w:val="7589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2025-06-25T05:55:00Z</dcterms:created>
  <dc:creator>Дениза Харисова</dc:creator>
  <cp:lastModifiedBy>Дениза Харисова</cp:lastModifiedBy>
  <dcterms:modified xsi:type="dcterms:W3CDTF">2025-06-25T09:06:29Z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2E860A1F2707499193D3409736972B06_11</vt:lpwstr>
  </property>
</Properties>
</file>