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C9DA10">
      <w:pPr>
        <w:rPr>
          <w:rFonts w:hint="default" w:ascii="Times New Roman" w:hAnsi="Times New Roman"/>
          <w:b w:val="0"/>
          <w:bCs w:val="0"/>
          <w:i w:val="0"/>
          <w:iCs w:val="0"/>
          <w:u w:val="none"/>
          <w:lang w:val="ru-RU"/>
        </w:rPr>
      </w:pPr>
      <w:r>
        <w:rPr>
          <w:rFonts w:ascii="Times New Roman" w:hAnsi="Times New Roman" w:cs="Times New Roman"/>
        </w:rPr>
        <w:t>Прокур</w:t>
      </w:r>
      <w:r>
        <w:rPr>
          <w:rFonts w:ascii="Times New Roman" w:hAnsi="Times New Roman" w:cs="Times New Roman"/>
          <w:lang w:val="ru-RU"/>
        </w:rPr>
        <w:t>атура</w:t>
      </w:r>
      <w:r>
        <w:rPr>
          <w:rFonts w:hint="default"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</w:rPr>
        <w:t>Балтачевского района разъясняет:</w:t>
      </w:r>
    </w:p>
    <w:p w14:paraId="16C3A38F">
      <w:pPr>
        <w:rPr>
          <w:rFonts w:hint="default" w:ascii="Times New Roman" w:hAnsi="Times New Roman"/>
          <w:b/>
          <w:bCs/>
        </w:rPr>
      </w:pPr>
      <w:bookmarkStart w:id="0" w:name="_GoBack"/>
      <w:r>
        <w:rPr>
          <w:rFonts w:hint="default" w:ascii="Times New Roman" w:hAnsi="Times New Roman"/>
          <w:b/>
          <w:bCs/>
          <w:lang w:val="ru-RU"/>
        </w:rPr>
        <w:t>О н</w:t>
      </w:r>
      <w:r>
        <w:rPr>
          <w:rFonts w:hint="default" w:ascii="Times New Roman" w:hAnsi="Times New Roman"/>
          <w:b/>
          <w:bCs/>
        </w:rPr>
        <w:t>овом порядке преследования за клевету.</w:t>
      </w:r>
    </w:p>
    <w:bookmarkEnd w:id="0"/>
    <w:p w14:paraId="0214815C">
      <w:pPr>
        <w:jc w:val="both"/>
        <w:rPr>
          <w:rFonts w:hint="default" w:ascii="Times New Roman" w:hAnsi="Times New Roman"/>
        </w:rPr>
      </w:pPr>
      <w:r>
        <w:rPr>
          <w:rFonts w:hint="default" w:ascii="Times New Roman" w:hAnsi="Times New Roman"/>
        </w:rPr>
        <w:t>С 18 июня 2025 года в России действует новый порядок преследования за клевету, установленный Федеральным законом от 07.06.2025 №146-ФЗ «О внесении изменений в статью 20 Уголовно-процессуального кодекса Российской Федерации».</w:t>
      </w:r>
    </w:p>
    <w:p w14:paraId="79DED014">
      <w:pPr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/>
        </w:rPr>
        <w:t xml:space="preserve">Согласно закону, уголовные дела о клевете без отягчающих обстоятельств переведены в категорию частно-публичного обвинения. </w:t>
      </w:r>
      <w:r>
        <w:rPr>
          <w:rFonts w:hint="default" w:ascii="Times New Roman" w:hAnsi="Times New Roman" w:cs="Times New Roman"/>
        </w:rPr>
        <w:t xml:space="preserve"> Это значит, что такие дела инициируются на основании заявления потерпевшего или его законного представителя и не могут быть прекращены в случае примирения сторон. Закон вступает в силу 18 июня текущего года.</w:t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A133D1"/>
    <w:rsid w:val="6CA13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2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34</TotalTime>
  <ScaleCrop>false</ScaleCrop>
  <LinksUpToDate>false</LinksUpToDate>
  <CharactersWithSpaces>0</CharactersWithSpaces>
  <Application>WPS Office_12.2.0.21546_F1E327BC-269C-435d-A152-05C5408002CA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2025-06-25T04:25:00Z</dcterms:created>
  <dc:creator>Дениза Харисова</dc:creator>
  <cp:lastModifiedBy>Дениза Харисова</cp:lastModifiedBy>
  <dcterms:modified xsi:type="dcterms:W3CDTF">2025-06-25T09:04:04Z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1049-12.2.0.21546</vt:lpwstr>
  </property>
  <property fmtid="{D5CDD505-2E9C-101B-9397-08002B2CF9AE}" pid="3" name="ICV">
    <vt:lpwstr>3B6F3BE12717487E83CDEB4AD39CD56B_11</vt:lpwstr>
  </property>
</Properties>
</file>