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210" w:rsidRDefault="00F52210" w:rsidP="00F522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Прокуратура </w:t>
      </w:r>
      <w:proofErr w:type="spellStart"/>
      <w:r w:rsidR="001A21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Балтачевского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района разъяснение об </w:t>
      </w:r>
      <w:r w:rsidR="001A21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тветственности</w:t>
      </w:r>
      <w:r w:rsidRPr="00F5221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 незаконные действия с материнским капиталом</w:t>
      </w:r>
    </w:p>
    <w:p w:rsidR="00F52210" w:rsidRPr="00F52210" w:rsidRDefault="00F52210" w:rsidP="00F522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52210" w:rsidRPr="00F52210" w:rsidRDefault="00F52210" w:rsidP="00F52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годы в судебной практике возросло количество уголовных дел, связанных с хищением средств материнского (семейного) капитала.</w:t>
      </w:r>
    </w:p>
    <w:p w:rsidR="00F52210" w:rsidRPr="00F52210" w:rsidRDefault="00F52210" w:rsidP="00F5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Недобросовестные граждане придумывают множество схем, в соответствии с которыми обладателям материнского капитала предлагают обналичить деньги, чтобы распорядиться ими по своему усмотрению, а не направить на предусмотренные законом цели.</w:t>
      </w:r>
    </w:p>
    <w:p w:rsidR="00F52210" w:rsidRPr="00F52210" w:rsidRDefault="00F52210" w:rsidP="00F52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схемы, какими бы хитроумными они не были, всегда являются мошенническими и не только создают риск неполучения средств или части средств обладателем материнского капитала, но и являются основанием для его привлечения к уголовной (ст. 159.2 УК РФ) и гражданско-правовой ответственности в виде обязанности вернуть полученные денежные средства в Пенсионный Фонд Российской Федерации.</w:t>
      </w:r>
    </w:p>
    <w:p w:rsidR="00F52210" w:rsidRPr="00F52210" w:rsidRDefault="00F52210" w:rsidP="00F52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распространенным является способ обналичивания средств материнского капитала путем оформления мнимых сделок и фиктивных договоров, как правило, между близкими родственниками.</w:t>
      </w:r>
    </w:p>
    <w:p w:rsidR="00F52210" w:rsidRPr="00F52210" w:rsidRDefault="00F52210" w:rsidP="00F52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известны случаи оформления фиктивных ипотек, свидетельств о праве собственности, договоров на проведение ремонтных работ в жилом помещении и оценки стоимости приобретенной недвижимости.</w:t>
      </w:r>
    </w:p>
    <w:p w:rsidR="00F52210" w:rsidRPr="00F52210" w:rsidRDefault="00F52210" w:rsidP="00F52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хищение при получении различных социальных выплат, в том числе материнского капитала, предусмотрена ст. 159.2 УК РФ и зависит от множества факторов, таких как количество участников противоправного деяния; использования служебного положения, размера полученных денежных средств.</w:t>
      </w:r>
    </w:p>
    <w:p w:rsidR="00F52210" w:rsidRPr="00F52210" w:rsidRDefault="00F52210" w:rsidP="00F52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наличия указанных факторов уголовное наказание может варьироваться от штрафных санкций в размере 100 тысяч рублей до лишения свободы сроком на 10 лет и взыскания одного миллиона рублей штрафа.</w:t>
      </w:r>
    </w:p>
    <w:p w:rsidR="00F52210" w:rsidRPr="00F52210" w:rsidRDefault="00F52210" w:rsidP="00F52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Уголовная ответственность наступает только в случае, если у лица изначально имелся умысел на хищение денежных средств и был доказан факт нарушения ответчиком требований закона о дополнительных мерах государственной поддержки семей, имеющих детей, в части целевого использования средств материнского капитала (см. ст. 7 Федерального закона № 256-ФЗ «О дополнительных мерах государственной поддержки семей, имеющих детей»).</w:t>
      </w:r>
    </w:p>
    <w:p w:rsidR="00F52210" w:rsidRPr="00F52210" w:rsidRDefault="00F52210" w:rsidP="00F52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 средства, полученные в результате совершения преступления по ст. 159.2 УК РФ, возвращаются в рамках гражданского иска в уголовном деле или в порядке подачи иска в рамках гражданского судопроизводства.</w:t>
      </w:r>
    </w:p>
    <w:p w:rsidR="00A4057F" w:rsidRDefault="00A4057F"/>
    <w:sectPr w:rsidR="00A40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10545"/>
    <w:multiLevelType w:val="multilevel"/>
    <w:tmpl w:val="BB70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10"/>
    <w:rsid w:val="001A21C1"/>
    <w:rsid w:val="00A4057F"/>
    <w:rsid w:val="00F5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0778"/>
  <w15:chartTrackingRefBased/>
  <w15:docId w15:val="{A32DE6DE-F7C4-4A42-9D87-28897670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7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5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90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3</cp:revision>
  <dcterms:created xsi:type="dcterms:W3CDTF">2022-01-28T09:03:00Z</dcterms:created>
  <dcterms:modified xsi:type="dcterms:W3CDTF">2022-12-28T06:34:00Z</dcterms:modified>
</cp:coreProperties>
</file>